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89" w:rsidRPr="003956EF" w:rsidRDefault="0086256D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bookmarkEnd w:id="0"/>
      <w:r w:rsidRPr="003956E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Основные положения учетной политики </w:t>
      </w:r>
    </w:p>
    <w:p w:rsidR="00F26389" w:rsidRPr="003956EF" w:rsidRDefault="003956EF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b/>
          <w:bCs/>
          <w:color w:val="000000"/>
          <w:sz w:val="28"/>
          <w:szCs w:val="28"/>
          <w:lang w:val="ru-RU"/>
        </w:rPr>
        <w:t>Управления архитектуры и градостроительства администрации Озерского городского округа Челябинской области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(далее – Управление)</w:t>
      </w:r>
    </w:p>
    <w:p w:rsidR="00F26389" w:rsidRPr="003956EF" w:rsidRDefault="0086256D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>В соответствии с требованиями пункта 9 Стандарта «Учетная политика, оценочные значения и ошибки», утвержденного приказом Минфина от 30.12.2017 № 274н, на официальном сайте учреждения размещается информация об учетной политике.</w:t>
      </w:r>
    </w:p>
    <w:p w:rsidR="00F26389" w:rsidRPr="003956EF" w:rsidRDefault="0086256D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 xml:space="preserve">Учетная политика </w:t>
      </w:r>
      <w:r w:rsidR="005A6C65">
        <w:rPr>
          <w:rFonts w:cstheme="minorHAnsi"/>
          <w:color w:val="000000"/>
          <w:sz w:val="28"/>
          <w:szCs w:val="28"/>
          <w:lang w:val="ru-RU"/>
        </w:rPr>
        <w:t>Управления</w:t>
      </w:r>
      <w:r w:rsidR="003956EF" w:rsidRPr="003956EF">
        <w:rPr>
          <w:rFonts w:cstheme="minorHAnsi"/>
          <w:color w:val="000000"/>
          <w:sz w:val="28"/>
          <w:szCs w:val="28"/>
          <w:lang w:val="ru-RU"/>
        </w:rPr>
        <w:t xml:space="preserve"> архитектуры и градостроительства</w:t>
      </w:r>
      <w:r w:rsidR="005A6C65" w:rsidRPr="005A6C65">
        <w:rPr>
          <w:lang w:val="ru-RU"/>
        </w:rPr>
        <w:t xml:space="preserve"> </w:t>
      </w:r>
      <w:r w:rsidR="005A6C65" w:rsidRPr="005A6C65">
        <w:rPr>
          <w:rFonts w:cstheme="minorHAnsi"/>
          <w:color w:val="000000"/>
          <w:sz w:val="28"/>
          <w:szCs w:val="28"/>
          <w:lang w:val="ru-RU"/>
        </w:rPr>
        <w:t>администрации Озерского городского округа Челябинской области</w:t>
      </w:r>
      <w:r w:rsidR="003956EF" w:rsidRPr="003956E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956EF">
        <w:rPr>
          <w:rFonts w:cstheme="minorHAnsi"/>
          <w:color w:val="000000"/>
          <w:sz w:val="28"/>
          <w:szCs w:val="28"/>
          <w:lang w:val="ru-RU"/>
        </w:rPr>
        <w:t>утверждена приказом от 2</w:t>
      </w:r>
      <w:r w:rsidR="003956EF">
        <w:rPr>
          <w:rFonts w:cstheme="minorHAnsi"/>
          <w:color w:val="000000"/>
          <w:sz w:val="28"/>
          <w:szCs w:val="28"/>
          <w:lang w:val="ru-RU"/>
        </w:rPr>
        <w:t>9.12.2018</w:t>
      </w:r>
      <w:r w:rsidRPr="003956EF">
        <w:rPr>
          <w:rFonts w:cstheme="minorHAnsi"/>
          <w:color w:val="000000"/>
          <w:sz w:val="28"/>
          <w:szCs w:val="28"/>
          <w:lang w:val="ru-RU"/>
        </w:rPr>
        <w:t xml:space="preserve"> № 1</w:t>
      </w:r>
      <w:r w:rsidR="003956EF">
        <w:rPr>
          <w:rFonts w:cstheme="minorHAnsi"/>
          <w:color w:val="000000"/>
          <w:sz w:val="28"/>
          <w:szCs w:val="28"/>
          <w:lang w:val="ru-RU"/>
        </w:rPr>
        <w:t>0</w:t>
      </w:r>
      <w:r w:rsidRPr="003956EF">
        <w:rPr>
          <w:rFonts w:cstheme="minorHAnsi"/>
          <w:color w:val="000000"/>
          <w:sz w:val="28"/>
          <w:szCs w:val="28"/>
          <w:lang w:val="ru-RU"/>
        </w:rPr>
        <w:t>6</w:t>
      </w:r>
      <w:r w:rsidR="003956EF">
        <w:rPr>
          <w:rFonts w:cstheme="minorHAnsi"/>
          <w:color w:val="000000"/>
          <w:sz w:val="28"/>
          <w:szCs w:val="28"/>
          <w:lang w:val="ru-RU"/>
        </w:rPr>
        <w:t xml:space="preserve"> (с изменениями от 22.03.2021 № 17, </w:t>
      </w:r>
      <w:r w:rsidR="00EE08F0">
        <w:rPr>
          <w:rFonts w:cstheme="minorHAnsi"/>
          <w:color w:val="000000"/>
          <w:sz w:val="28"/>
          <w:szCs w:val="28"/>
          <w:lang w:val="ru-RU"/>
        </w:rPr>
        <w:t>от</w:t>
      </w:r>
      <w:r w:rsidR="003956EF" w:rsidRPr="005A6C6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A6C65" w:rsidRPr="005A6C65">
        <w:rPr>
          <w:rFonts w:cstheme="minorHAnsi"/>
          <w:color w:val="000000"/>
          <w:sz w:val="28"/>
          <w:szCs w:val="28"/>
          <w:lang w:val="ru-RU"/>
        </w:rPr>
        <w:t>17</w:t>
      </w:r>
      <w:r w:rsidR="003956EF" w:rsidRPr="005A6C65">
        <w:rPr>
          <w:rFonts w:cstheme="minorHAnsi"/>
          <w:color w:val="000000"/>
          <w:sz w:val="28"/>
          <w:szCs w:val="28"/>
          <w:lang w:val="ru-RU"/>
        </w:rPr>
        <w:t>.0</w:t>
      </w:r>
      <w:r w:rsidR="005A6C65" w:rsidRPr="005A6C65">
        <w:rPr>
          <w:rFonts w:cstheme="minorHAnsi"/>
          <w:color w:val="000000"/>
          <w:sz w:val="28"/>
          <w:szCs w:val="28"/>
          <w:lang w:val="ru-RU"/>
        </w:rPr>
        <w:t>2</w:t>
      </w:r>
      <w:r w:rsidR="003956EF" w:rsidRPr="005A6C65">
        <w:rPr>
          <w:rFonts w:cstheme="minorHAnsi"/>
          <w:color w:val="000000"/>
          <w:sz w:val="28"/>
          <w:szCs w:val="28"/>
          <w:lang w:val="ru-RU"/>
        </w:rPr>
        <w:t>.2022 №</w:t>
      </w:r>
      <w:r w:rsidR="005A6C65" w:rsidRPr="005A6C65">
        <w:rPr>
          <w:rFonts w:cstheme="minorHAnsi"/>
          <w:color w:val="000000"/>
          <w:sz w:val="28"/>
          <w:szCs w:val="28"/>
          <w:lang w:val="ru-RU"/>
        </w:rPr>
        <w:t xml:space="preserve"> 9</w:t>
      </w:r>
      <w:r w:rsidR="00DD4D59">
        <w:rPr>
          <w:rFonts w:cstheme="minorHAnsi"/>
          <w:color w:val="000000"/>
          <w:sz w:val="28"/>
          <w:szCs w:val="28"/>
          <w:lang w:val="ru-RU"/>
        </w:rPr>
        <w:t>,</w:t>
      </w:r>
      <w:r w:rsidR="00DD4D59" w:rsidRPr="00DD4D59">
        <w:rPr>
          <w:lang w:val="ru-RU"/>
        </w:rPr>
        <w:t xml:space="preserve"> </w:t>
      </w:r>
      <w:r w:rsidR="00DD4D59" w:rsidRPr="00DD4D59">
        <w:rPr>
          <w:rFonts w:cstheme="minorHAnsi"/>
          <w:color w:val="000000"/>
          <w:sz w:val="28"/>
          <w:szCs w:val="28"/>
          <w:lang w:val="ru-RU"/>
        </w:rPr>
        <w:t>от 21.09.2022 № 27, от 02.06.2023 № 10</w:t>
      </w:r>
      <w:r w:rsidR="00EE08F0">
        <w:rPr>
          <w:rFonts w:cstheme="minorHAnsi"/>
          <w:color w:val="000000"/>
          <w:sz w:val="28"/>
          <w:szCs w:val="28"/>
          <w:lang w:val="ru-RU"/>
        </w:rPr>
        <w:t>,</w:t>
      </w:r>
      <w:r w:rsidR="00DD4D59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="00DD4D59">
        <w:rPr>
          <w:rFonts w:cstheme="minorHAnsi"/>
          <w:color w:val="000000"/>
          <w:sz w:val="28"/>
          <w:szCs w:val="28"/>
          <w:lang w:val="ru-RU"/>
        </w:rPr>
        <w:t>от</w:t>
      </w:r>
      <w:proofErr w:type="gramEnd"/>
      <w:r w:rsidR="00EE08F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D4D59">
        <w:rPr>
          <w:rFonts w:cstheme="minorHAnsi"/>
          <w:color w:val="000000"/>
          <w:sz w:val="28"/>
          <w:szCs w:val="28"/>
          <w:lang w:val="ru-RU"/>
        </w:rPr>
        <w:t>24.06.2024 № 57)</w:t>
      </w:r>
      <w:r w:rsidRPr="005A6C65">
        <w:rPr>
          <w:rFonts w:cstheme="minorHAnsi"/>
          <w:color w:val="000000"/>
          <w:sz w:val="28"/>
          <w:szCs w:val="28"/>
          <w:lang w:val="ru-RU"/>
        </w:rPr>
        <w:t>.</w:t>
      </w:r>
    </w:p>
    <w:p w:rsidR="003956EF" w:rsidRPr="003956EF" w:rsidRDefault="0086256D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 xml:space="preserve">1. Бухгалтерский учет ведет структурное подразделение – </w:t>
      </w:r>
      <w:r w:rsidR="003956EF" w:rsidRPr="003956EF">
        <w:rPr>
          <w:rFonts w:cstheme="minorHAnsi"/>
          <w:color w:val="000000"/>
          <w:sz w:val="28"/>
          <w:szCs w:val="28"/>
          <w:lang w:val="ru-RU"/>
        </w:rPr>
        <w:t>отдел бухгалтерского учета и отчетности, возглавляемый начальником отдела. Сотрудники отдела бухгалтерского учета и отчетности руководствуются в своей работе Положением об отделе, должностными инструкциями.</w:t>
      </w:r>
    </w:p>
    <w:p w:rsidR="003956EF" w:rsidRDefault="003956EF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>Ответственным за ведение бюджетного учета в Управлении является начальник отдела бухгалтерского учета и отчетности.</w:t>
      </w:r>
    </w:p>
    <w:p w:rsidR="003956EF" w:rsidRPr="003956EF" w:rsidRDefault="003956EF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3956EF">
        <w:rPr>
          <w:rFonts w:cstheme="minorHAnsi"/>
          <w:color w:val="000000"/>
          <w:sz w:val="28"/>
          <w:szCs w:val="28"/>
          <w:lang w:val="ru-RU"/>
        </w:rPr>
        <w:t>Бухгалтерский учет ведется в электронном виде с применением программных продуктов:</w:t>
      </w:r>
    </w:p>
    <w:p w:rsidR="003956EF" w:rsidRPr="003956EF" w:rsidRDefault="003956EF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>– «БГУ 2.0 Бухгалтерия государственного учреждения редакция 2.0» – для бюджетного учета;</w:t>
      </w:r>
    </w:p>
    <w:p w:rsidR="003956EF" w:rsidRPr="003956EF" w:rsidRDefault="003956EF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>– «Зарплата и кадры государственного учреждени</w:t>
      </w:r>
      <w:r>
        <w:rPr>
          <w:rFonts w:cstheme="minorHAnsi"/>
          <w:color w:val="000000"/>
          <w:sz w:val="28"/>
          <w:szCs w:val="28"/>
          <w:lang w:val="ru-RU"/>
        </w:rPr>
        <w:t>я» – для учета заработной платы.</w:t>
      </w:r>
    </w:p>
    <w:p w:rsidR="003956EF" w:rsidRPr="003956EF" w:rsidRDefault="003956EF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3956EF">
        <w:rPr>
          <w:rFonts w:cstheme="minorHAnsi"/>
          <w:color w:val="000000"/>
          <w:sz w:val="28"/>
          <w:szCs w:val="28"/>
          <w:lang w:val="ru-RU"/>
        </w:rPr>
        <w:t>С использованием телекоммуникационных каналов связи и электронной подписи отдел бухгалтерского учета и отчетности Управления ведет электронный документооборот по следующим направлениям:</w:t>
      </w:r>
    </w:p>
    <w:p w:rsidR="003956EF" w:rsidRPr="003956EF" w:rsidRDefault="003956EF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3956EF">
        <w:rPr>
          <w:rFonts w:cstheme="minorHAnsi"/>
          <w:color w:val="000000"/>
          <w:sz w:val="28"/>
          <w:szCs w:val="28"/>
          <w:lang w:val="ru-RU"/>
        </w:rPr>
        <w:t>система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956EF">
        <w:rPr>
          <w:rFonts w:cstheme="minorHAnsi"/>
          <w:color w:val="000000"/>
          <w:sz w:val="28"/>
          <w:szCs w:val="28"/>
          <w:lang w:val="ru-RU"/>
        </w:rPr>
        <w:t>электронного документооборота с территориальным органом Федерального казначейства;</w:t>
      </w:r>
    </w:p>
    <w:p w:rsidR="003956EF" w:rsidRPr="003956EF" w:rsidRDefault="003956EF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3956EF">
        <w:rPr>
          <w:rFonts w:cstheme="minorHAnsi"/>
          <w:color w:val="000000"/>
          <w:sz w:val="28"/>
          <w:szCs w:val="28"/>
          <w:lang w:val="ru-RU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3956EF" w:rsidRPr="003956EF" w:rsidRDefault="003956EF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3956EF">
        <w:rPr>
          <w:rFonts w:cstheme="minorHAnsi"/>
          <w:color w:val="000000"/>
          <w:sz w:val="28"/>
          <w:szCs w:val="28"/>
          <w:lang w:val="ru-RU"/>
        </w:rPr>
        <w:t>передача отчетности в отделение Пенсионного фонда, Фонд социального страхования и Росстат.</w:t>
      </w:r>
    </w:p>
    <w:p w:rsidR="00F26389" w:rsidRDefault="009D3CC5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. При оформлении фактов хозяйственной жизни применяются унифицированные формы первичных учетных документов</w:t>
      </w:r>
      <w:r w:rsidR="0086256D" w:rsidRPr="003956EF">
        <w:rPr>
          <w:rFonts w:cstheme="minorHAnsi"/>
          <w:color w:val="000000"/>
          <w:sz w:val="28"/>
          <w:szCs w:val="28"/>
        </w:rPr>
        <w:t> 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в соответствии с приказом Минфина</w:t>
      </w:r>
      <w:r w:rsidR="0086256D" w:rsidRPr="003956EF">
        <w:rPr>
          <w:rFonts w:cstheme="minorHAnsi"/>
          <w:color w:val="000000"/>
          <w:sz w:val="28"/>
          <w:szCs w:val="28"/>
        </w:rPr>
        <w:t> 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№ 52н</w:t>
      </w:r>
      <w:r w:rsidR="00DD4D59">
        <w:rPr>
          <w:rFonts w:cstheme="minorHAnsi"/>
          <w:color w:val="000000"/>
          <w:sz w:val="28"/>
          <w:szCs w:val="28"/>
          <w:lang w:val="ru-RU"/>
        </w:rPr>
        <w:t xml:space="preserve"> и </w:t>
      </w:r>
      <w:r w:rsidR="00DD4D59" w:rsidRPr="00DD4D59">
        <w:rPr>
          <w:rFonts w:cstheme="minorHAnsi"/>
          <w:color w:val="000000"/>
          <w:sz w:val="28"/>
          <w:szCs w:val="28"/>
          <w:lang w:val="ru-RU"/>
        </w:rPr>
        <w:t>отдельных положений Приказа Минфина России от 15.04.2021 № 61н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. При оформлении фактов хозяйственной жизни, по которым не предусмотрены типовые формы, применяются формы, установленные в приложении </w:t>
      </w:r>
      <w:r w:rsidR="003956EF">
        <w:rPr>
          <w:rFonts w:cstheme="minorHAnsi"/>
          <w:color w:val="000000"/>
          <w:sz w:val="28"/>
          <w:szCs w:val="28"/>
          <w:lang w:val="ru-RU"/>
        </w:rPr>
        <w:t>6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 к учетной политике.</w:t>
      </w:r>
    </w:p>
    <w:p w:rsidR="0058695B" w:rsidRPr="003956EF" w:rsidRDefault="0058695B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5. </w:t>
      </w:r>
      <w:r w:rsidRPr="0058695B">
        <w:rPr>
          <w:rFonts w:cstheme="minorHAnsi"/>
          <w:color w:val="000000"/>
          <w:sz w:val="28"/>
          <w:szCs w:val="28"/>
          <w:lang w:val="ru-RU"/>
        </w:rPr>
        <w:t xml:space="preserve">Электронные первичные документы, </w:t>
      </w:r>
      <w:proofErr w:type="gramStart"/>
      <w:r w:rsidRPr="0058695B">
        <w:rPr>
          <w:rFonts w:cstheme="minorHAnsi"/>
          <w:color w:val="000000"/>
          <w:sz w:val="28"/>
          <w:szCs w:val="28"/>
          <w:lang w:val="ru-RU"/>
        </w:rPr>
        <w:t>электронные бухгалтерские регистры, предусмотренные как обязательные с 2024 года Приказом Минфина России от 15.04.2021 N 61н формируются</w:t>
      </w:r>
      <w:proofErr w:type="gramEnd"/>
      <w:r w:rsidRPr="0058695B">
        <w:rPr>
          <w:rFonts w:cstheme="minorHAnsi"/>
          <w:color w:val="000000"/>
          <w:sz w:val="28"/>
          <w:szCs w:val="28"/>
          <w:lang w:val="ru-RU"/>
        </w:rPr>
        <w:t xml:space="preserve"> на бумажном носителе с собственноручными подписями ответственных лиц и печатью учреждения (при необходимости) по причине отсутствия организационно-технической возможности формирования и хранения их в электронном виде.</w:t>
      </w:r>
    </w:p>
    <w:p w:rsidR="00F26389" w:rsidRPr="003956EF" w:rsidRDefault="00F944CC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6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. Бухучет ведется по первичным документам, которые проверены сотрудниками бухгалтерии в соответствии с положением о внутреннем фи</w:t>
      </w:r>
      <w:r w:rsidR="003956EF">
        <w:rPr>
          <w:rFonts w:cstheme="minorHAnsi"/>
          <w:color w:val="000000"/>
          <w:sz w:val="28"/>
          <w:szCs w:val="28"/>
          <w:lang w:val="ru-RU"/>
        </w:rPr>
        <w:t>нансовом контроле (приложение 12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).</w:t>
      </w:r>
    </w:p>
    <w:p w:rsidR="00F26389" w:rsidRPr="003956EF" w:rsidRDefault="00F944CC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. Инвентаризация активов и обязатель</w:t>
      </w:r>
      <w:proofErr w:type="gramStart"/>
      <w:r w:rsidR="0086256D" w:rsidRPr="003956EF">
        <w:rPr>
          <w:rFonts w:cstheme="minorHAnsi"/>
          <w:color w:val="000000"/>
          <w:sz w:val="28"/>
          <w:szCs w:val="28"/>
          <w:lang w:val="ru-RU"/>
        </w:rPr>
        <w:t>ств пр</w:t>
      </w:r>
      <w:proofErr w:type="gramEnd"/>
      <w:r w:rsidR="0086256D" w:rsidRPr="003956EF">
        <w:rPr>
          <w:rFonts w:cstheme="minorHAnsi"/>
          <w:color w:val="000000"/>
          <w:sz w:val="28"/>
          <w:szCs w:val="28"/>
          <w:lang w:val="ru-RU"/>
        </w:rPr>
        <w:t>оводится в соответствии с Порядком проведения инвентаризации</w:t>
      </w:r>
      <w:r w:rsidR="00DD4D59">
        <w:rPr>
          <w:rFonts w:cstheme="minorHAnsi"/>
          <w:color w:val="000000"/>
          <w:sz w:val="28"/>
          <w:szCs w:val="28"/>
          <w:lang w:val="ru-RU"/>
        </w:rPr>
        <w:t xml:space="preserve"> активов и обязательств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, утвержденным в приложении 10 к настоящей учетной политике, и ежегодными приказами учреждения о проведении инвентаризации объектов бухучета.</w:t>
      </w:r>
    </w:p>
    <w:p w:rsidR="00F26389" w:rsidRPr="003956EF" w:rsidRDefault="00F944CC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.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</w:p>
    <w:p w:rsidR="00F26389" w:rsidRPr="003956EF" w:rsidRDefault="00F944CC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</w:t>
      </w:r>
      <w:r w:rsidR="00F60CAF">
        <w:rPr>
          <w:rFonts w:cstheme="minorHAnsi"/>
          <w:color w:val="000000"/>
          <w:sz w:val="28"/>
          <w:szCs w:val="28"/>
          <w:lang w:val="ru-RU"/>
        </w:rPr>
        <w:t>начальника отдела бухгалтерского учета и отчетности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.</w:t>
      </w:r>
    </w:p>
    <w:p w:rsidR="005A6C65" w:rsidRDefault="00F944CC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5A6C65" w:rsidRPr="005A6C65">
        <w:rPr>
          <w:rFonts w:cstheme="minorHAnsi"/>
          <w:color w:val="000000"/>
          <w:sz w:val="28"/>
          <w:szCs w:val="28"/>
          <w:lang w:val="ru-RU"/>
        </w:rPr>
        <w:t>Управление учитывает в составе основных средств материальные объекты имущества, независимо от их стоимости, со сроком полезного использования более 12 месяцев. Перечень объектов, которые относятся к группе «Инвентарь производственный и хозяйственный», приведен в приложении 7.</w:t>
      </w:r>
    </w:p>
    <w:p w:rsidR="00F26389" w:rsidRPr="003956EF" w:rsidRDefault="0086256D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>1</w:t>
      </w:r>
      <w:r w:rsidR="00F944CC">
        <w:rPr>
          <w:rFonts w:cstheme="minorHAnsi"/>
          <w:color w:val="000000"/>
          <w:sz w:val="28"/>
          <w:szCs w:val="28"/>
          <w:lang w:val="ru-RU"/>
        </w:rPr>
        <w:t>1</w:t>
      </w:r>
      <w:r w:rsidRPr="003956EF">
        <w:rPr>
          <w:rFonts w:cstheme="minorHAnsi"/>
          <w:color w:val="000000"/>
          <w:sz w:val="28"/>
          <w:szCs w:val="28"/>
          <w:lang w:val="ru-RU"/>
        </w:rPr>
        <w:t>.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 ожидаемого использования:</w:t>
      </w:r>
    </w:p>
    <w:p w:rsidR="00F60CAF" w:rsidRPr="00F60CAF" w:rsidRDefault="00F60CAF" w:rsidP="00F60CA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F60CAF">
        <w:rPr>
          <w:rFonts w:cstheme="minorHAnsi"/>
          <w:color w:val="000000"/>
          <w:sz w:val="28"/>
          <w:szCs w:val="28"/>
          <w:lang w:val="ru-RU"/>
        </w:rPr>
        <w:t>мебель для обстановки одного помещения – столы, стулья, стеллажи, шкафы, полки;</w:t>
      </w:r>
    </w:p>
    <w:p w:rsidR="00F60CAF" w:rsidRPr="00F60CAF" w:rsidRDefault="00F60CAF" w:rsidP="00F60CA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F60CAF">
        <w:rPr>
          <w:rFonts w:cstheme="minorHAnsi"/>
          <w:color w:val="000000"/>
          <w:sz w:val="28"/>
          <w:szCs w:val="28"/>
          <w:lang w:val="ru-RU"/>
        </w:rPr>
        <w:t>компьютерное и периферийное оборудование – системные блоки, мониторы, принтеры, сканеры, компьютерные мыши, клавиатуры, колонки, акустические системы, микрофоны, веб-камеры, устройства захвата видео, внешние ТВ-тюнеры, внешние накопители на жестких дисках.</w:t>
      </w:r>
      <w:proofErr w:type="gramEnd"/>
    </w:p>
    <w:p w:rsidR="00F26389" w:rsidRPr="003956EF" w:rsidRDefault="00F944CC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12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. Не считается существенной стоимость до 20 000 руб. за один имущественный объект. Необходимость объединения и конкретный перечень объединяемых объектов определяет комиссия учреждения по поступлению и выбытию активов.</w:t>
      </w:r>
    </w:p>
    <w:p w:rsidR="00F26389" w:rsidRPr="005A6C65" w:rsidRDefault="00F944CC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13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(выбываемых) составных частей. </w:t>
      </w:r>
      <w:r w:rsidR="0086256D" w:rsidRPr="005A6C65">
        <w:rPr>
          <w:rFonts w:cstheme="minorHAnsi"/>
          <w:color w:val="000000"/>
          <w:sz w:val="28"/>
          <w:szCs w:val="28"/>
          <w:lang w:val="ru-RU"/>
        </w:rPr>
        <w:t>Данное правило применяется к следующим группам основных средств:</w:t>
      </w:r>
    </w:p>
    <w:p w:rsidR="00F26389" w:rsidRPr="003956EF" w:rsidRDefault="0086256D" w:rsidP="003956EF">
      <w:pPr>
        <w:numPr>
          <w:ilvl w:val="0"/>
          <w:numId w:val="3"/>
        </w:numPr>
        <w:spacing w:before="0" w:beforeAutospacing="0" w:after="0" w:afterAutospacing="0"/>
        <w:ind w:left="780" w:right="-612" w:firstLine="426"/>
        <w:contextualSpacing/>
        <w:jc w:val="both"/>
        <w:rPr>
          <w:rFonts w:cstheme="minorHAnsi"/>
          <w:color w:val="000000"/>
          <w:sz w:val="28"/>
          <w:szCs w:val="28"/>
        </w:rPr>
      </w:pPr>
      <w:r w:rsidRPr="003956EF">
        <w:rPr>
          <w:rFonts w:cstheme="minorHAnsi"/>
          <w:color w:val="000000"/>
          <w:sz w:val="28"/>
          <w:szCs w:val="28"/>
        </w:rPr>
        <w:t>машины и оборудование;</w:t>
      </w:r>
    </w:p>
    <w:p w:rsidR="00F26389" w:rsidRPr="003956EF" w:rsidRDefault="0086256D" w:rsidP="003956EF">
      <w:pPr>
        <w:numPr>
          <w:ilvl w:val="0"/>
          <w:numId w:val="3"/>
        </w:numPr>
        <w:spacing w:before="0" w:beforeAutospacing="0" w:after="0" w:afterAutospacing="0"/>
        <w:ind w:left="780" w:right="-612" w:firstLine="426"/>
        <w:contextualSpacing/>
        <w:jc w:val="both"/>
        <w:rPr>
          <w:rFonts w:cstheme="minorHAnsi"/>
          <w:color w:val="000000"/>
          <w:sz w:val="28"/>
          <w:szCs w:val="28"/>
        </w:rPr>
      </w:pPr>
      <w:r w:rsidRPr="003956EF">
        <w:rPr>
          <w:rFonts w:cstheme="minorHAnsi"/>
          <w:color w:val="000000"/>
          <w:sz w:val="28"/>
          <w:szCs w:val="28"/>
        </w:rPr>
        <w:t>транспортные средства;</w:t>
      </w:r>
    </w:p>
    <w:p w:rsidR="00F26389" w:rsidRPr="003956EF" w:rsidRDefault="0086256D" w:rsidP="003956EF">
      <w:pPr>
        <w:numPr>
          <w:ilvl w:val="0"/>
          <w:numId w:val="3"/>
        </w:numPr>
        <w:spacing w:before="0" w:beforeAutospacing="0" w:after="0" w:afterAutospacing="0"/>
        <w:ind w:left="780" w:right="-612" w:firstLine="426"/>
        <w:contextualSpacing/>
        <w:jc w:val="both"/>
        <w:rPr>
          <w:rFonts w:cstheme="minorHAnsi"/>
          <w:color w:val="000000"/>
          <w:sz w:val="28"/>
          <w:szCs w:val="28"/>
        </w:rPr>
      </w:pPr>
      <w:r w:rsidRPr="003956EF">
        <w:rPr>
          <w:rFonts w:cstheme="minorHAnsi"/>
          <w:color w:val="000000"/>
          <w:sz w:val="28"/>
          <w:szCs w:val="28"/>
        </w:rPr>
        <w:t>инвентарь производственный и хозяйственный;</w:t>
      </w:r>
    </w:p>
    <w:p w:rsidR="00F26389" w:rsidRPr="00F60CAF" w:rsidRDefault="009D3CC5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1</w:t>
      </w:r>
      <w:r w:rsidR="00F944CC">
        <w:rPr>
          <w:rFonts w:cstheme="minorHAnsi"/>
          <w:color w:val="000000"/>
          <w:sz w:val="28"/>
          <w:szCs w:val="28"/>
          <w:lang w:val="ru-RU"/>
        </w:rPr>
        <w:t>4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. В случае частичной ликвидации или </w:t>
      </w:r>
      <w:proofErr w:type="spellStart"/>
      <w:r w:rsidR="0086256D" w:rsidRPr="003956EF">
        <w:rPr>
          <w:rFonts w:cstheme="minorHAnsi"/>
          <w:color w:val="000000"/>
          <w:sz w:val="28"/>
          <w:szCs w:val="28"/>
          <w:lang w:val="ru-RU"/>
        </w:rPr>
        <w:t>разукомплектации</w:t>
      </w:r>
      <w:proofErr w:type="spellEnd"/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</w:t>
      </w:r>
      <w:r w:rsidR="0086256D" w:rsidRPr="00F60CAF">
        <w:rPr>
          <w:rFonts w:cstheme="minorHAnsi"/>
          <w:color w:val="000000"/>
          <w:sz w:val="28"/>
          <w:szCs w:val="28"/>
          <w:lang w:val="ru-RU"/>
        </w:rPr>
        <w:t>(в порядке убывания важности):</w:t>
      </w:r>
    </w:p>
    <w:p w:rsidR="00F26389" w:rsidRPr="003956EF" w:rsidRDefault="0086256D" w:rsidP="003956EF">
      <w:pPr>
        <w:numPr>
          <w:ilvl w:val="0"/>
          <w:numId w:val="4"/>
        </w:numPr>
        <w:spacing w:before="0" w:beforeAutospacing="0" w:after="0" w:afterAutospacing="0"/>
        <w:ind w:left="780" w:right="-612" w:firstLine="426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956EF">
        <w:rPr>
          <w:rFonts w:cstheme="minorHAnsi"/>
          <w:color w:val="000000"/>
          <w:sz w:val="28"/>
          <w:szCs w:val="28"/>
        </w:rPr>
        <w:t>площади</w:t>
      </w:r>
      <w:proofErr w:type="spellEnd"/>
      <w:r w:rsidRPr="003956EF">
        <w:rPr>
          <w:rFonts w:cstheme="minorHAnsi"/>
          <w:color w:val="000000"/>
          <w:sz w:val="28"/>
          <w:szCs w:val="28"/>
        </w:rPr>
        <w:t>;</w:t>
      </w:r>
    </w:p>
    <w:p w:rsidR="00F26389" w:rsidRPr="003956EF" w:rsidRDefault="0086256D" w:rsidP="003956EF">
      <w:pPr>
        <w:numPr>
          <w:ilvl w:val="0"/>
          <w:numId w:val="4"/>
        </w:numPr>
        <w:spacing w:before="0" w:beforeAutospacing="0" w:after="0" w:afterAutospacing="0"/>
        <w:ind w:left="780" w:right="-612" w:firstLine="426"/>
        <w:contextualSpacing/>
        <w:jc w:val="both"/>
        <w:rPr>
          <w:rFonts w:cstheme="minorHAnsi"/>
          <w:color w:val="000000"/>
          <w:sz w:val="28"/>
          <w:szCs w:val="28"/>
        </w:rPr>
      </w:pPr>
      <w:r w:rsidRPr="003956EF">
        <w:rPr>
          <w:rFonts w:cstheme="minorHAnsi"/>
          <w:color w:val="000000"/>
          <w:sz w:val="28"/>
          <w:szCs w:val="28"/>
        </w:rPr>
        <w:t>объему;</w:t>
      </w:r>
    </w:p>
    <w:p w:rsidR="00F26389" w:rsidRPr="003956EF" w:rsidRDefault="0086256D" w:rsidP="003956EF">
      <w:pPr>
        <w:numPr>
          <w:ilvl w:val="0"/>
          <w:numId w:val="4"/>
        </w:numPr>
        <w:spacing w:before="0" w:beforeAutospacing="0" w:after="0" w:afterAutospacing="0"/>
        <w:ind w:left="780" w:right="-612" w:firstLine="426"/>
        <w:contextualSpacing/>
        <w:jc w:val="both"/>
        <w:rPr>
          <w:rFonts w:cstheme="minorHAnsi"/>
          <w:color w:val="000000"/>
          <w:sz w:val="28"/>
          <w:szCs w:val="28"/>
        </w:rPr>
      </w:pPr>
      <w:r w:rsidRPr="003956EF">
        <w:rPr>
          <w:rFonts w:cstheme="minorHAnsi"/>
          <w:color w:val="000000"/>
          <w:sz w:val="28"/>
          <w:szCs w:val="28"/>
        </w:rPr>
        <w:t>весу;</w:t>
      </w:r>
    </w:p>
    <w:p w:rsidR="00F26389" w:rsidRPr="003956EF" w:rsidRDefault="0086256D" w:rsidP="003956EF">
      <w:pPr>
        <w:numPr>
          <w:ilvl w:val="0"/>
          <w:numId w:val="4"/>
        </w:numPr>
        <w:spacing w:before="0" w:beforeAutospacing="0" w:after="0" w:afterAutospacing="0"/>
        <w:ind w:left="780"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>иному показателю, установленному комиссией по поступлению и выбытию активов.</w:t>
      </w:r>
    </w:p>
    <w:p w:rsidR="00F26389" w:rsidRPr="003956EF" w:rsidRDefault="0086256D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>1</w:t>
      </w:r>
      <w:r w:rsidR="00F944CC">
        <w:rPr>
          <w:rFonts w:cstheme="minorHAnsi"/>
          <w:color w:val="000000"/>
          <w:sz w:val="28"/>
          <w:szCs w:val="28"/>
          <w:lang w:val="ru-RU"/>
        </w:rPr>
        <w:t>5</w:t>
      </w:r>
      <w:r w:rsidRPr="003956EF">
        <w:rPr>
          <w:rFonts w:cstheme="minorHAnsi"/>
          <w:color w:val="000000"/>
          <w:sz w:val="28"/>
          <w:szCs w:val="28"/>
          <w:lang w:val="ru-RU"/>
        </w:rPr>
        <w:t xml:space="preserve">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 </w:t>
      </w:r>
      <w:proofErr w:type="spellStart"/>
      <w:r w:rsidRPr="003956EF">
        <w:rPr>
          <w:rFonts w:cstheme="minorHAnsi"/>
          <w:color w:val="000000"/>
          <w:sz w:val="28"/>
          <w:szCs w:val="28"/>
        </w:rPr>
        <w:t>Данное</w:t>
      </w:r>
      <w:proofErr w:type="spellEnd"/>
      <w:r w:rsidR="009D3CC5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3956EF">
        <w:rPr>
          <w:rFonts w:cstheme="minorHAnsi"/>
          <w:color w:val="000000"/>
          <w:sz w:val="28"/>
          <w:szCs w:val="28"/>
        </w:rPr>
        <w:t>правило</w:t>
      </w:r>
      <w:proofErr w:type="spellEnd"/>
      <w:r w:rsidRPr="003956E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956EF">
        <w:rPr>
          <w:rFonts w:cstheme="minorHAnsi"/>
          <w:color w:val="000000"/>
          <w:sz w:val="28"/>
          <w:szCs w:val="28"/>
        </w:rPr>
        <w:t>применяется</w:t>
      </w:r>
      <w:proofErr w:type="spellEnd"/>
      <w:r w:rsidRPr="003956EF">
        <w:rPr>
          <w:rFonts w:cstheme="minorHAnsi"/>
          <w:color w:val="000000"/>
          <w:sz w:val="28"/>
          <w:szCs w:val="28"/>
        </w:rPr>
        <w:t xml:space="preserve"> к </w:t>
      </w:r>
      <w:proofErr w:type="spellStart"/>
      <w:r w:rsidRPr="003956EF">
        <w:rPr>
          <w:rFonts w:cstheme="minorHAnsi"/>
          <w:color w:val="000000"/>
          <w:sz w:val="28"/>
          <w:szCs w:val="28"/>
        </w:rPr>
        <w:t>следующим</w:t>
      </w:r>
      <w:proofErr w:type="spellEnd"/>
      <w:r w:rsidRPr="003956E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956EF">
        <w:rPr>
          <w:rFonts w:cstheme="minorHAnsi"/>
          <w:color w:val="000000"/>
          <w:sz w:val="28"/>
          <w:szCs w:val="28"/>
        </w:rPr>
        <w:t>группам</w:t>
      </w:r>
      <w:proofErr w:type="spellEnd"/>
      <w:r w:rsidRPr="003956E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956EF">
        <w:rPr>
          <w:rFonts w:cstheme="minorHAnsi"/>
          <w:color w:val="000000"/>
          <w:sz w:val="28"/>
          <w:szCs w:val="28"/>
        </w:rPr>
        <w:t>основных</w:t>
      </w:r>
      <w:proofErr w:type="spellEnd"/>
      <w:r w:rsidRPr="003956E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956EF">
        <w:rPr>
          <w:rFonts w:cstheme="minorHAnsi"/>
          <w:color w:val="000000"/>
          <w:sz w:val="28"/>
          <w:szCs w:val="28"/>
        </w:rPr>
        <w:t>средств</w:t>
      </w:r>
      <w:proofErr w:type="spellEnd"/>
      <w:r w:rsidRPr="003956EF">
        <w:rPr>
          <w:rFonts w:cstheme="minorHAnsi"/>
          <w:color w:val="000000"/>
          <w:sz w:val="28"/>
          <w:szCs w:val="28"/>
        </w:rPr>
        <w:t>:</w:t>
      </w:r>
    </w:p>
    <w:p w:rsidR="00F26389" w:rsidRPr="003956EF" w:rsidRDefault="0086256D" w:rsidP="003956EF">
      <w:pPr>
        <w:numPr>
          <w:ilvl w:val="0"/>
          <w:numId w:val="5"/>
        </w:numPr>
        <w:spacing w:before="0" w:beforeAutospacing="0" w:after="0" w:afterAutospacing="0"/>
        <w:ind w:left="780" w:right="-612" w:firstLine="426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956EF">
        <w:rPr>
          <w:rFonts w:cstheme="minorHAnsi"/>
          <w:color w:val="000000"/>
          <w:sz w:val="28"/>
          <w:szCs w:val="28"/>
        </w:rPr>
        <w:t>машины</w:t>
      </w:r>
      <w:proofErr w:type="spellEnd"/>
      <w:r w:rsidRPr="003956EF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3956EF">
        <w:rPr>
          <w:rFonts w:cstheme="minorHAnsi"/>
          <w:color w:val="000000"/>
          <w:sz w:val="28"/>
          <w:szCs w:val="28"/>
        </w:rPr>
        <w:t>оборудование</w:t>
      </w:r>
      <w:proofErr w:type="spellEnd"/>
      <w:r w:rsidRPr="003956EF">
        <w:rPr>
          <w:rFonts w:cstheme="minorHAnsi"/>
          <w:color w:val="000000"/>
          <w:sz w:val="28"/>
          <w:szCs w:val="28"/>
        </w:rPr>
        <w:t>;</w:t>
      </w:r>
    </w:p>
    <w:p w:rsidR="00F26389" w:rsidRPr="003956EF" w:rsidRDefault="0086256D" w:rsidP="003956EF">
      <w:pPr>
        <w:numPr>
          <w:ilvl w:val="0"/>
          <w:numId w:val="5"/>
        </w:numPr>
        <w:spacing w:before="0" w:beforeAutospacing="0" w:after="0" w:afterAutospacing="0"/>
        <w:ind w:left="780" w:right="-612" w:firstLine="426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3956EF">
        <w:rPr>
          <w:rFonts w:cstheme="minorHAnsi"/>
          <w:color w:val="000000"/>
          <w:sz w:val="28"/>
          <w:szCs w:val="28"/>
        </w:rPr>
        <w:t>транспортные</w:t>
      </w:r>
      <w:proofErr w:type="gramEnd"/>
      <w:r w:rsidRPr="003956EF">
        <w:rPr>
          <w:rFonts w:cstheme="minorHAnsi"/>
          <w:color w:val="000000"/>
          <w:sz w:val="28"/>
          <w:szCs w:val="28"/>
        </w:rPr>
        <w:t xml:space="preserve"> средства.</w:t>
      </w:r>
    </w:p>
    <w:p w:rsidR="00F26389" w:rsidRPr="003956EF" w:rsidRDefault="00F944CC" w:rsidP="00F60CA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16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. Начисление амортизации основных средств о</w:t>
      </w:r>
      <w:r w:rsidR="00F60CAF">
        <w:rPr>
          <w:rFonts w:cstheme="minorHAnsi"/>
          <w:color w:val="000000"/>
          <w:sz w:val="28"/>
          <w:szCs w:val="28"/>
          <w:lang w:val="ru-RU"/>
        </w:rPr>
        <w:t>существляется следующим образом</w:t>
      </w:r>
      <w:r w:rsidR="00F60CAF" w:rsidRPr="003956E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60CAF">
        <w:rPr>
          <w:rFonts w:cstheme="minorHAnsi"/>
          <w:color w:val="000000"/>
          <w:sz w:val="28"/>
          <w:szCs w:val="28"/>
          <w:lang w:val="ru-RU"/>
        </w:rPr>
        <w:t>линейным методом – на все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 объекты основных средств.</w:t>
      </w:r>
    </w:p>
    <w:p w:rsidR="00F26389" w:rsidRPr="003956EF" w:rsidRDefault="00F944CC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17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.</w:t>
      </w:r>
      <w:r w:rsidR="0086256D" w:rsidRPr="003956EF">
        <w:rPr>
          <w:rFonts w:cstheme="minorHAnsi"/>
          <w:color w:val="000000"/>
          <w:sz w:val="28"/>
          <w:szCs w:val="28"/>
        </w:rPr>
        <w:t> 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При переоценке объекта основных средств накопленная амортизация на дату</w:t>
      </w:r>
      <w:r w:rsidR="009D3CC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 накопленная амортизация увеличиваются (умножаются) на одинаковый коэффициент таким образом, чтобы при их суммировании получить переоцененную стоимость на дату проведения переоценки.</w:t>
      </w:r>
    </w:p>
    <w:p w:rsidR="00F26389" w:rsidRPr="003956EF" w:rsidRDefault="00F944CC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18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. Основные средства стоимостью до 10 000 руб. включительно, находящиеся в эксплуатации, учитываются на </w:t>
      </w:r>
      <w:proofErr w:type="spellStart"/>
      <w:r w:rsidR="0086256D" w:rsidRPr="003956EF">
        <w:rPr>
          <w:rFonts w:cstheme="minorHAnsi"/>
          <w:color w:val="000000"/>
          <w:sz w:val="28"/>
          <w:szCs w:val="28"/>
          <w:lang w:val="ru-RU"/>
        </w:rPr>
        <w:t>забалансовом</w:t>
      </w:r>
      <w:proofErr w:type="spellEnd"/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 счете 21 по балансовой стоимости.</w:t>
      </w:r>
    </w:p>
    <w:p w:rsidR="00F26389" w:rsidRPr="003956EF" w:rsidRDefault="00F944CC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19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.</w:t>
      </w:r>
      <w:r w:rsidR="0086256D" w:rsidRPr="003956EF">
        <w:rPr>
          <w:rFonts w:cstheme="minorHAnsi"/>
          <w:color w:val="000000"/>
          <w:sz w:val="28"/>
          <w:szCs w:val="28"/>
        </w:rPr>
        <w:t> 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:rsidR="00F26389" w:rsidRPr="003956EF" w:rsidRDefault="00F944CC" w:rsidP="00C21790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20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. Начисление амортизации нематериальных активов о</w:t>
      </w:r>
      <w:r w:rsidR="00C21790">
        <w:rPr>
          <w:rFonts w:cstheme="minorHAnsi"/>
          <w:color w:val="000000"/>
          <w:sz w:val="28"/>
          <w:szCs w:val="28"/>
          <w:lang w:val="ru-RU"/>
        </w:rPr>
        <w:t xml:space="preserve">существляется 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линейным методом – на </w:t>
      </w:r>
      <w:r w:rsidR="00C21790">
        <w:rPr>
          <w:rFonts w:cstheme="minorHAnsi"/>
          <w:color w:val="000000"/>
          <w:sz w:val="28"/>
          <w:szCs w:val="28"/>
          <w:lang w:val="ru-RU"/>
        </w:rPr>
        <w:t>вс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е объекты нематериальных активов</w:t>
      </w:r>
      <w:r w:rsidR="00DD4D59">
        <w:rPr>
          <w:rFonts w:cstheme="minorHAnsi"/>
          <w:color w:val="000000"/>
          <w:sz w:val="28"/>
          <w:szCs w:val="28"/>
          <w:lang w:val="ru-RU"/>
        </w:rPr>
        <w:t>. А</w:t>
      </w:r>
      <w:r w:rsidR="00DD4D59" w:rsidRPr="00DD4D59">
        <w:rPr>
          <w:rFonts w:cstheme="minorHAnsi"/>
          <w:color w:val="000000"/>
          <w:sz w:val="28"/>
          <w:szCs w:val="28"/>
          <w:lang w:val="ru-RU"/>
        </w:rPr>
        <w:t>нализ сроков полезного использ</w:t>
      </w:r>
      <w:r w:rsidR="00DD4D59">
        <w:rPr>
          <w:rFonts w:cstheme="minorHAnsi"/>
          <w:color w:val="000000"/>
          <w:sz w:val="28"/>
          <w:szCs w:val="28"/>
          <w:lang w:val="ru-RU"/>
        </w:rPr>
        <w:t xml:space="preserve">ования нематериальных активов проводится </w:t>
      </w:r>
      <w:r w:rsidR="00DD4D59" w:rsidRPr="00DD4D59">
        <w:rPr>
          <w:rFonts w:cstheme="minorHAnsi"/>
          <w:color w:val="000000"/>
          <w:sz w:val="28"/>
          <w:szCs w:val="28"/>
          <w:lang w:val="ru-RU"/>
        </w:rPr>
        <w:t>ежегодно (при проведении инвентаризации активов и обязательств перед составлением годовой бухгалтерской отчётности).</w:t>
      </w:r>
    </w:p>
    <w:p w:rsidR="00F26389" w:rsidRPr="003956EF" w:rsidRDefault="00F944CC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21</w:t>
      </w:r>
      <w:r w:rsidR="009D3CC5">
        <w:rPr>
          <w:rFonts w:cstheme="minorHAnsi"/>
          <w:color w:val="000000"/>
          <w:sz w:val="28"/>
          <w:szCs w:val="28"/>
          <w:lang w:val="ru-RU"/>
        </w:rPr>
        <w:t xml:space="preserve">. Управление 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учитывает в составе материальных запасов материальные объекты, указанные в пунктах 98–99 Инструкции к Единому плану счетов № 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lastRenderedPageBreak/>
        <w:t>157н, а также производственный и хозяйственный инвентарь, перечень которого приведен в приложении 7.</w:t>
      </w:r>
    </w:p>
    <w:p w:rsidR="00F26389" w:rsidRPr="003956EF" w:rsidRDefault="00F944CC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22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.</w:t>
      </w:r>
      <w:r w:rsidR="0086256D" w:rsidRPr="003956EF">
        <w:rPr>
          <w:rFonts w:cstheme="minorHAnsi"/>
          <w:color w:val="000000"/>
          <w:sz w:val="28"/>
          <w:szCs w:val="28"/>
        </w:rPr>
        <w:t> 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Списание материальных запасов производится по средней фактической стоимости.</w:t>
      </w:r>
    </w:p>
    <w:p w:rsidR="00C21790" w:rsidRPr="00C21790" w:rsidRDefault="00F944CC" w:rsidP="00C21790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23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C21790" w:rsidRPr="00C21790">
        <w:rPr>
          <w:rFonts w:cstheme="minorHAnsi"/>
          <w:color w:val="000000"/>
          <w:sz w:val="28"/>
          <w:szCs w:val="28"/>
          <w:lang w:val="ru-RU"/>
        </w:rPr>
        <w:t>Денежные средства выдаются под отч</w:t>
      </w:r>
      <w:r w:rsidR="009D3CC5">
        <w:rPr>
          <w:rFonts w:cstheme="minorHAnsi"/>
          <w:color w:val="000000"/>
          <w:sz w:val="28"/>
          <w:szCs w:val="28"/>
          <w:lang w:val="ru-RU"/>
        </w:rPr>
        <w:t>ё</w:t>
      </w:r>
      <w:r w:rsidR="00C21790" w:rsidRPr="00C21790">
        <w:rPr>
          <w:rFonts w:cstheme="minorHAnsi"/>
          <w:color w:val="000000"/>
          <w:sz w:val="28"/>
          <w:szCs w:val="28"/>
          <w:lang w:val="ru-RU"/>
        </w:rPr>
        <w:t xml:space="preserve">т на основании приказа начальника </w:t>
      </w:r>
      <w:r w:rsidR="009D3CC5">
        <w:rPr>
          <w:rFonts w:cstheme="minorHAnsi"/>
          <w:color w:val="000000"/>
          <w:sz w:val="28"/>
          <w:szCs w:val="28"/>
          <w:lang w:val="ru-RU"/>
        </w:rPr>
        <w:t>У</w:t>
      </w:r>
      <w:r w:rsidR="00C21790" w:rsidRPr="00C21790">
        <w:rPr>
          <w:rFonts w:cstheme="minorHAnsi"/>
          <w:color w:val="000000"/>
          <w:sz w:val="28"/>
          <w:szCs w:val="28"/>
          <w:lang w:val="ru-RU"/>
        </w:rPr>
        <w:t>правления или заявления на выдачу аванса, утверждённого начальником Управления. Выдача денежных средств под отчёт производится пут</w:t>
      </w:r>
      <w:r w:rsidR="009D3CC5">
        <w:rPr>
          <w:rFonts w:cstheme="minorHAnsi"/>
          <w:color w:val="000000"/>
          <w:sz w:val="28"/>
          <w:szCs w:val="28"/>
          <w:lang w:val="ru-RU"/>
        </w:rPr>
        <w:t>ё</w:t>
      </w:r>
      <w:r w:rsidR="00C21790" w:rsidRPr="00C21790">
        <w:rPr>
          <w:rFonts w:cstheme="minorHAnsi"/>
          <w:color w:val="000000"/>
          <w:sz w:val="28"/>
          <w:szCs w:val="28"/>
          <w:lang w:val="ru-RU"/>
        </w:rPr>
        <w:t>м:</w:t>
      </w:r>
    </w:p>
    <w:p w:rsidR="00C21790" w:rsidRPr="00C21790" w:rsidRDefault="00C21790" w:rsidP="00C21790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C21790">
        <w:rPr>
          <w:rFonts w:cstheme="minorHAnsi"/>
          <w:color w:val="000000"/>
          <w:sz w:val="28"/>
          <w:szCs w:val="28"/>
          <w:lang w:val="ru-RU"/>
        </w:rPr>
        <w:t>выдачи из кассы. При этом выплаты подотч</w:t>
      </w:r>
      <w:r w:rsidR="009D3CC5">
        <w:rPr>
          <w:rFonts w:cstheme="minorHAnsi"/>
          <w:color w:val="000000"/>
          <w:sz w:val="28"/>
          <w:szCs w:val="28"/>
          <w:lang w:val="ru-RU"/>
        </w:rPr>
        <w:t>ё</w:t>
      </w:r>
      <w:r w:rsidRPr="00C21790">
        <w:rPr>
          <w:rFonts w:cstheme="minorHAnsi"/>
          <w:color w:val="000000"/>
          <w:sz w:val="28"/>
          <w:szCs w:val="28"/>
          <w:lang w:val="ru-RU"/>
        </w:rPr>
        <w:t>тных сумм сотрудникам (служащим) производятся в течение трех рабочих дней, включая день получения денег в банке;</w:t>
      </w:r>
    </w:p>
    <w:p w:rsidR="00C21790" w:rsidRPr="00C21790" w:rsidRDefault="00C21790" w:rsidP="00C21790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C21790">
        <w:rPr>
          <w:rFonts w:cstheme="minorHAnsi"/>
          <w:color w:val="000000"/>
          <w:sz w:val="28"/>
          <w:szCs w:val="28"/>
          <w:lang w:val="ru-RU"/>
        </w:rPr>
        <w:t>перечисления на зарплатную карту материально ответственного лица;</w:t>
      </w:r>
    </w:p>
    <w:p w:rsidR="00C21790" w:rsidRPr="00C21790" w:rsidRDefault="00C21790" w:rsidP="00C21790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C21790">
        <w:rPr>
          <w:rFonts w:cstheme="minorHAnsi"/>
          <w:color w:val="000000"/>
          <w:sz w:val="28"/>
          <w:szCs w:val="28"/>
          <w:lang w:val="ru-RU"/>
        </w:rPr>
        <w:t>перечисления на зарплатную карту сотрудника, направляемого в командировку.</w:t>
      </w:r>
    </w:p>
    <w:p w:rsidR="00C21790" w:rsidRDefault="0086256D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>2</w:t>
      </w:r>
      <w:r w:rsidR="00F944CC">
        <w:rPr>
          <w:rFonts w:cstheme="minorHAnsi"/>
          <w:color w:val="000000"/>
          <w:sz w:val="28"/>
          <w:szCs w:val="28"/>
          <w:lang w:val="ru-RU"/>
        </w:rPr>
        <w:t>4</w:t>
      </w:r>
      <w:r w:rsidRPr="003956EF">
        <w:rPr>
          <w:rFonts w:cstheme="minorHAnsi"/>
          <w:color w:val="000000"/>
          <w:sz w:val="28"/>
          <w:szCs w:val="28"/>
          <w:lang w:val="ru-RU"/>
        </w:rPr>
        <w:t>.</w:t>
      </w:r>
      <w:r w:rsidRPr="003956EF">
        <w:rPr>
          <w:rFonts w:cstheme="minorHAnsi"/>
          <w:color w:val="000000"/>
          <w:sz w:val="28"/>
          <w:szCs w:val="28"/>
        </w:rPr>
        <w:t> </w:t>
      </w:r>
      <w:r w:rsidR="00C21790" w:rsidRPr="00C21790">
        <w:rPr>
          <w:rFonts w:cstheme="minorHAnsi"/>
          <w:color w:val="000000"/>
          <w:sz w:val="28"/>
          <w:szCs w:val="28"/>
          <w:lang w:val="ru-RU"/>
        </w:rPr>
        <w:t>Денежные средства выдаются под отчёт на хозяйственные нужды на срок, который сотрудник указал в заявлении на выдачу денежных средств под отчёт, но не более десяти рабочих дней. По истечении этого срока сотрудник должен отчитать</w:t>
      </w:r>
      <w:r w:rsidR="00C21790">
        <w:rPr>
          <w:rFonts w:cstheme="minorHAnsi"/>
          <w:color w:val="000000"/>
          <w:sz w:val="28"/>
          <w:szCs w:val="28"/>
          <w:lang w:val="ru-RU"/>
        </w:rPr>
        <w:t>ся в течение трёх рабочих дней.</w:t>
      </w:r>
    </w:p>
    <w:p w:rsidR="00C21790" w:rsidRPr="00C21790" w:rsidRDefault="00F944CC" w:rsidP="00C21790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25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C21790" w:rsidRPr="00C21790">
        <w:rPr>
          <w:rFonts w:cstheme="minorHAnsi"/>
          <w:color w:val="000000"/>
          <w:sz w:val="28"/>
          <w:szCs w:val="28"/>
          <w:lang w:val="ru-RU"/>
        </w:rPr>
        <w:t xml:space="preserve">Кредиторская задолженность, не востребованная кредитором, списывается на финансовый результат на основании приказа начальника Управления. Решение о списании принимается на основании данных проведенной инвентаризации и служебной записки начальника отдела бухгалтерского учета и отчетности о выявлении кредиторской задолженности, не востребованной кредиторами, срок исковой давности по которой истёк. Срок исковой давности определяется в соответствии с законодательством РФ. </w:t>
      </w:r>
    </w:p>
    <w:p w:rsidR="00C21790" w:rsidRPr="00C21790" w:rsidRDefault="00C21790" w:rsidP="00C21790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21790">
        <w:rPr>
          <w:rFonts w:cstheme="minorHAnsi"/>
          <w:color w:val="000000"/>
          <w:sz w:val="28"/>
          <w:szCs w:val="28"/>
          <w:lang w:val="ru-RU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Pr="00C21790">
        <w:rPr>
          <w:rFonts w:cstheme="minorHAnsi"/>
          <w:color w:val="000000"/>
          <w:sz w:val="28"/>
          <w:szCs w:val="28"/>
          <w:lang w:val="ru-RU"/>
        </w:rPr>
        <w:t>забалансовом</w:t>
      </w:r>
      <w:proofErr w:type="spellEnd"/>
      <w:r w:rsidRPr="00C21790">
        <w:rPr>
          <w:rFonts w:cstheme="minorHAnsi"/>
          <w:color w:val="000000"/>
          <w:sz w:val="28"/>
          <w:szCs w:val="28"/>
          <w:lang w:val="ru-RU"/>
        </w:rPr>
        <w:t xml:space="preserve"> счете 20 «Задолженность, не востребованная кредиторами».</w:t>
      </w:r>
    </w:p>
    <w:p w:rsidR="00C21790" w:rsidRPr="00C21790" w:rsidRDefault="00C21790" w:rsidP="00C21790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21790">
        <w:rPr>
          <w:rFonts w:cstheme="minorHAnsi"/>
          <w:color w:val="000000"/>
          <w:sz w:val="28"/>
          <w:szCs w:val="28"/>
          <w:lang w:val="ru-RU"/>
        </w:rPr>
        <w:t xml:space="preserve">Списание задолженности с </w:t>
      </w:r>
      <w:proofErr w:type="spellStart"/>
      <w:r w:rsidRPr="00C21790">
        <w:rPr>
          <w:rFonts w:cstheme="minorHAnsi"/>
          <w:color w:val="000000"/>
          <w:sz w:val="28"/>
          <w:szCs w:val="28"/>
          <w:lang w:val="ru-RU"/>
        </w:rPr>
        <w:t>забалансового</w:t>
      </w:r>
      <w:proofErr w:type="spellEnd"/>
      <w:r w:rsidRPr="00C21790">
        <w:rPr>
          <w:rFonts w:cstheme="minorHAnsi"/>
          <w:color w:val="000000"/>
          <w:sz w:val="28"/>
          <w:szCs w:val="28"/>
          <w:lang w:val="ru-RU"/>
        </w:rPr>
        <w:t xml:space="preserve"> учёта осуществляется по итогам инвентаризации задолженности на основании решения инвентаризационной комиссии Управления:</w:t>
      </w:r>
    </w:p>
    <w:p w:rsidR="00C21790" w:rsidRPr="00C21790" w:rsidRDefault="00C21790" w:rsidP="00C21790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21790">
        <w:rPr>
          <w:rFonts w:cstheme="minorHAnsi"/>
          <w:color w:val="000000"/>
          <w:sz w:val="28"/>
          <w:szCs w:val="28"/>
          <w:lang w:val="ru-RU"/>
        </w:rPr>
        <w:t xml:space="preserve">– по истечении пяти лет отражения задолженности на </w:t>
      </w:r>
      <w:proofErr w:type="spellStart"/>
      <w:r w:rsidRPr="00C21790">
        <w:rPr>
          <w:rFonts w:cstheme="minorHAnsi"/>
          <w:color w:val="000000"/>
          <w:sz w:val="28"/>
          <w:szCs w:val="28"/>
          <w:lang w:val="ru-RU"/>
        </w:rPr>
        <w:t>забалансовом</w:t>
      </w:r>
      <w:proofErr w:type="spellEnd"/>
      <w:r w:rsidRPr="00C21790">
        <w:rPr>
          <w:rFonts w:cstheme="minorHAnsi"/>
          <w:color w:val="000000"/>
          <w:sz w:val="28"/>
          <w:szCs w:val="28"/>
          <w:lang w:val="ru-RU"/>
        </w:rPr>
        <w:t xml:space="preserve"> учёте;</w:t>
      </w:r>
    </w:p>
    <w:p w:rsidR="00C21790" w:rsidRPr="00C21790" w:rsidRDefault="00C21790" w:rsidP="00C21790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21790">
        <w:rPr>
          <w:rFonts w:cstheme="minorHAnsi"/>
          <w:color w:val="000000"/>
          <w:sz w:val="28"/>
          <w:szCs w:val="28"/>
          <w:lang w:val="ru-RU"/>
        </w:rPr>
        <w:t xml:space="preserve">– по завершении </w:t>
      </w:r>
      <w:proofErr w:type="gramStart"/>
      <w:r w:rsidRPr="00C21790">
        <w:rPr>
          <w:rFonts w:cstheme="minorHAnsi"/>
          <w:color w:val="000000"/>
          <w:sz w:val="28"/>
          <w:szCs w:val="28"/>
          <w:lang w:val="ru-RU"/>
        </w:rPr>
        <w:t>срока возможного возобновления процедуры взыскания задолженности</w:t>
      </w:r>
      <w:proofErr w:type="gramEnd"/>
      <w:r w:rsidRPr="00C21790">
        <w:rPr>
          <w:rFonts w:cstheme="minorHAnsi"/>
          <w:color w:val="000000"/>
          <w:sz w:val="28"/>
          <w:szCs w:val="28"/>
          <w:lang w:val="ru-RU"/>
        </w:rPr>
        <w:t xml:space="preserve"> согласно действующему законодательству;</w:t>
      </w:r>
    </w:p>
    <w:p w:rsidR="00C21790" w:rsidRPr="00C21790" w:rsidRDefault="00C21790" w:rsidP="00C21790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21790">
        <w:rPr>
          <w:rFonts w:cstheme="minorHAnsi"/>
          <w:color w:val="000000"/>
          <w:sz w:val="28"/>
          <w:szCs w:val="28"/>
          <w:lang w:val="ru-RU"/>
        </w:rPr>
        <w:t>– при наличии документов, подтверждающих прекращение обязательства смертью (ликвидацией) контрагента.</w:t>
      </w:r>
    </w:p>
    <w:p w:rsidR="00C21790" w:rsidRDefault="00C21790" w:rsidP="00C21790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21790">
        <w:rPr>
          <w:rFonts w:cstheme="minorHAnsi"/>
          <w:color w:val="000000"/>
          <w:sz w:val="28"/>
          <w:szCs w:val="28"/>
          <w:lang w:val="ru-RU"/>
        </w:rPr>
        <w:t>Кредиторская задолженность списывается с баланса отдельно по каждому обязательству (кредитору).</w:t>
      </w:r>
    </w:p>
    <w:p w:rsidR="00F26389" w:rsidRPr="003956EF" w:rsidRDefault="00F944CC" w:rsidP="00C21790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26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. Доходы от предоставления права пользования активом (арендная плата) признаются 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</w:t>
      </w:r>
    </w:p>
    <w:p w:rsidR="00F26389" w:rsidRPr="003956EF" w:rsidRDefault="00F944CC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27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. В </w:t>
      </w:r>
      <w:r w:rsidR="00C21790">
        <w:rPr>
          <w:rFonts w:cstheme="minorHAnsi"/>
          <w:color w:val="000000"/>
          <w:sz w:val="28"/>
          <w:szCs w:val="28"/>
          <w:lang w:val="ru-RU"/>
        </w:rPr>
        <w:t xml:space="preserve">Управлении 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созда</w:t>
      </w:r>
      <w:r w:rsidR="00C21790">
        <w:rPr>
          <w:rFonts w:cstheme="minorHAnsi"/>
          <w:color w:val="000000"/>
          <w:sz w:val="28"/>
          <w:szCs w:val="28"/>
          <w:lang w:val="ru-RU"/>
        </w:rPr>
        <w:t>ё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тся:</w:t>
      </w:r>
    </w:p>
    <w:p w:rsidR="00EE08F0" w:rsidRDefault="00C21790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 xml:space="preserve">- 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резерв </w:t>
      </w:r>
      <w:r w:rsidR="00231E2F" w:rsidRPr="00231E2F">
        <w:rPr>
          <w:rFonts w:cstheme="minorHAnsi"/>
          <w:color w:val="000000"/>
          <w:sz w:val="28"/>
          <w:szCs w:val="28"/>
          <w:lang w:val="ru-RU"/>
        </w:rPr>
        <w:t>на предстоящую оплату отпусков</w:t>
      </w:r>
      <w:r w:rsidR="00EE08F0">
        <w:rPr>
          <w:rFonts w:cstheme="minorHAnsi"/>
          <w:color w:val="000000"/>
          <w:sz w:val="28"/>
          <w:szCs w:val="28"/>
          <w:lang w:val="ru-RU"/>
        </w:rPr>
        <w:t>.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E08F0">
        <w:rPr>
          <w:rFonts w:cstheme="minorHAnsi"/>
          <w:color w:val="000000"/>
          <w:sz w:val="28"/>
          <w:szCs w:val="28"/>
          <w:lang w:val="ru-RU"/>
        </w:rPr>
        <w:t>Р</w:t>
      </w:r>
      <w:r w:rsidR="00EE08F0" w:rsidRPr="00EE08F0">
        <w:rPr>
          <w:rFonts w:cstheme="minorHAnsi"/>
          <w:color w:val="000000"/>
          <w:sz w:val="28"/>
          <w:szCs w:val="28"/>
          <w:lang w:val="ru-RU"/>
        </w:rPr>
        <w:t>езерв предстоящих расходов формируется в сумме отложенных обязательств на оплату отпусков за фактически отработанное время в части выплат сотрудникам и в части оплаты страховых взносов</w:t>
      </w:r>
      <w:r w:rsidR="00EE08F0">
        <w:rPr>
          <w:rFonts w:cstheme="minorHAnsi"/>
          <w:color w:val="000000"/>
          <w:sz w:val="28"/>
          <w:szCs w:val="28"/>
          <w:lang w:val="ru-RU"/>
        </w:rPr>
        <w:t>.</w:t>
      </w:r>
    </w:p>
    <w:p w:rsidR="00F26389" w:rsidRDefault="009D3CC5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</w:t>
      </w:r>
      <w:r w:rsidR="00F944CC">
        <w:rPr>
          <w:rFonts w:cstheme="minorHAnsi"/>
          <w:color w:val="000000"/>
          <w:sz w:val="28"/>
          <w:szCs w:val="28"/>
          <w:lang w:val="ru-RU"/>
        </w:rPr>
        <w:t>8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C21790" w:rsidRPr="00C21790">
        <w:rPr>
          <w:rFonts w:cstheme="minorHAnsi"/>
          <w:color w:val="000000"/>
          <w:sz w:val="28"/>
          <w:szCs w:val="28"/>
          <w:lang w:val="ru-RU"/>
        </w:rPr>
        <w:t>Бюджетная отч</w:t>
      </w:r>
      <w:r>
        <w:rPr>
          <w:rFonts w:cstheme="minorHAnsi"/>
          <w:color w:val="000000"/>
          <w:sz w:val="28"/>
          <w:szCs w:val="28"/>
          <w:lang w:val="ru-RU"/>
        </w:rPr>
        <w:t>ё</w:t>
      </w:r>
      <w:r w:rsidR="00C21790" w:rsidRPr="00C21790">
        <w:rPr>
          <w:rFonts w:cstheme="minorHAnsi"/>
          <w:color w:val="000000"/>
          <w:sz w:val="28"/>
          <w:szCs w:val="28"/>
          <w:lang w:val="ru-RU"/>
        </w:rPr>
        <w:t>тность (в т. ч. по администрированию доходов бюджета) составляется на основании аналитического и синтетического уч</w:t>
      </w:r>
      <w:r>
        <w:rPr>
          <w:rFonts w:cstheme="minorHAnsi"/>
          <w:color w:val="000000"/>
          <w:sz w:val="28"/>
          <w:szCs w:val="28"/>
          <w:lang w:val="ru-RU"/>
        </w:rPr>
        <w:t>ё</w:t>
      </w:r>
      <w:r w:rsidR="00C21790" w:rsidRPr="00C21790">
        <w:rPr>
          <w:rFonts w:cstheme="minorHAnsi"/>
          <w:color w:val="000000"/>
          <w:sz w:val="28"/>
          <w:szCs w:val="28"/>
          <w:lang w:val="ru-RU"/>
        </w:rPr>
        <w:t>та по формам, в объеме и в сроки, установленные Управлением по финансам администрации Озерского городского округа и бюджетным законодательством (приказ Минфина от 28.12.2010 № 191н</w:t>
      </w:r>
      <w:r w:rsidR="00231E2F">
        <w:rPr>
          <w:rFonts w:cstheme="minorHAnsi"/>
          <w:color w:val="000000"/>
          <w:sz w:val="28"/>
          <w:szCs w:val="28"/>
          <w:lang w:val="ru-RU"/>
        </w:rPr>
        <w:t xml:space="preserve"> (с изменениями)</w:t>
      </w:r>
      <w:r w:rsidR="00C21790" w:rsidRPr="00C21790">
        <w:rPr>
          <w:rFonts w:cstheme="minorHAnsi"/>
          <w:color w:val="000000"/>
          <w:sz w:val="28"/>
          <w:szCs w:val="28"/>
          <w:lang w:val="ru-RU"/>
        </w:rPr>
        <w:t>). Бюджетная отч</w:t>
      </w:r>
      <w:r>
        <w:rPr>
          <w:rFonts w:cstheme="minorHAnsi"/>
          <w:color w:val="000000"/>
          <w:sz w:val="28"/>
          <w:szCs w:val="28"/>
          <w:lang w:val="ru-RU"/>
        </w:rPr>
        <w:t>ё</w:t>
      </w:r>
      <w:r w:rsidR="00C21790" w:rsidRPr="00C21790">
        <w:rPr>
          <w:rFonts w:cstheme="minorHAnsi"/>
          <w:color w:val="000000"/>
          <w:sz w:val="28"/>
          <w:szCs w:val="28"/>
          <w:lang w:val="ru-RU"/>
        </w:rPr>
        <w:t xml:space="preserve">тность представляется в Управление по финансам администрации </w:t>
      </w:r>
      <w:r w:rsidR="0086256D">
        <w:rPr>
          <w:rFonts w:cstheme="minorHAnsi"/>
          <w:color w:val="000000"/>
          <w:sz w:val="28"/>
          <w:szCs w:val="28"/>
          <w:lang w:val="ru-RU"/>
        </w:rPr>
        <w:t xml:space="preserve">Озерского городского округа </w:t>
      </w:r>
      <w:r w:rsidR="00C21790" w:rsidRPr="00C21790">
        <w:rPr>
          <w:rFonts w:cstheme="minorHAnsi"/>
          <w:color w:val="000000"/>
          <w:sz w:val="28"/>
          <w:szCs w:val="28"/>
          <w:lang w:val="ru-RU"/>
        </w:rPr>
        <w:t>в установленные им сроки.</w:t>
      </w:r>
      <w:r w:rsidR="00C2179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 xml:space="preserve">Бумажная копия комплекта отчетности хранится у </w:t>
      </w:r>
      <w:r w:rsidR="00C21790" w:rsidRPr="00C21790">
        <w:rPr>
          <w:rFonts w:cstheme="minorHAnsi"/>
          <w:color w:val="000000"/>
          <w:sz w:val="28"/>
          <w:szCs w:val="28"/>
          <w:lang w:val="ru-RU"/>
        </w:rPr>
        <w:t>начальника отдела бухгалтерского учета и отчетности</w:t>
      </w:r>
      <w:r w:rsidR="0086256D" w:rsidRPr="003956EF">
        <w:rPr>
          <w:rFonts w:cstheme="minorHAnsi"/>
          <w:color w:val="000000"/>
          <w:sz w:val="28"/>
          <w:szCs w:val="28"/>
          <w:lang w:val="ru-RU"/>
        </w:rPr>
        <w:t>.</w:t>
      </w:r>
    </w:p>
    <w:p w:rsidR="00C21790" w:rsidRPr="003956EF" w:rsidRDefault="00C21790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26389" w:rsidRPr="003956EF" w:rsidRDefault="0086256D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b/>
          <w:bCs/>
          <w:color w:val="000000"/>
          <w:sz w:val="28"/>
          <w:szCs w:val="28"/>
          <w:lang w:val="ru-RU"/>
        </w:rPr>
        <w:t>Отдельными</w:t>
      </w:r>
      <w:r w:rsidR="00C2179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3956EF">
        <w:rPr>
          <w:rFonts w:cstheme="minorHAnsi"/>
          <w:b/>
          <w:bCs/>
          <w:color w:val="000000"/>
          <w:sz w:val="28"/>
          <w:szCs w:val="28"/>
          <w:lang w:val="ru-RU"/>
        </w:rPr>
        <w:t>приложениями</w:t>
      </w:r>
      <w:r w:rsidR="00C2179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3956EF">
        <w:rPr>
          <w:rFonts w:cstheme="minorHAnsi"/>
          <w:b/>
          <w:bCs/>
          <w:color w:val="000000"/>
          <w:sz w:val="28"/>
          <w:szCs w:val="28"/>
          <w:lang w:val="ru-RU"/>
        </w:rPr>
        <w:t>к</w:t>
      </w:r>
      <w:r w:rsidR="00C2179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3956EF">
        <w:rPr>
          <w:rFonts w:cstheme="minorHAnsi"/>
          <w:b/>
          <w:bCs/>
          <w:color w:val="000000"/>
          <w:sz w:val="28"/>
          <w:szCs w:val="28"/>
          <w:lang w:val="ru-RU"/>
        </w:rPr>
        <w:t>учетной</w:t>
      </w:r>
      <w:r w:rsidR="00C2179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3956EF">
        <w:rPr>
          <w:rFonts w:cstheme="minorHAnsi"/>
          <w:b/>
          <w:bCs/>
          <w:color w:val="000000"/>
          <w:sz w:val="28"/>
          <w:szCs w:val="28"/>
          <w:lang w:val="ru-RU"/>
        </w:rPr>
        <w:t>политике</w:t>
      </w:r>
      <w:r w:rsidR="00C2179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3956EF">
        <w:rPr>
          <w:rFonts w:cstheme="minorHAnsi"/>
          <w:b/>
          <w:bCs/>
          <w:color w:val="000000"/>
          <w:sz w:val="28"/>
          <w:szCs w:val="28"/>
          <w:lang w:val="ru-RU"/>
        </w:rPr>
        <w:t>оформлены</w:t>
      </w:r>
      <w:proofErr w:type="gramEnd"/>
      <w:r w:rsidRPr="003956EF">
        <w:rPr>
          <w:rFonts w:cstheme="minorHAnsi"/>
          <w:b/>
          <w:bCs/>
          <w:color w:val="000000"/>
          <w:sz w:val="28"/>
          <w:szCs w:val="28"/>
          <w:lang w:val="ru-RU"/>
        </w:rPr>
        <w:t>:</w:t>
      </w:r>
    </w:p>
    <w:p w:rsidR="00EA72D9" w:rsidRPr="003956EF" w:rsidRDefault="00EA72D9" w:rsidP="00EA72D9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>Рабочий план счетов</w:t>
      </w:r>
    </w:p>
    <w:p w:rsidR="00EA72D9" w:rsidRDefault="00EA72D9" w:rsidP="00EA72D9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>Состав комиссии по поступлению и выбытию активов</w:t>
      </w:r>
    </w:p>
    <w:p w:rsidR="00EA72D9" w:rsidRPr="003956EF" w:rsidRDefault="00EA72D9" w:rsidP="00EA72D9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>Состав комиссии для проведения внезапной ревизии кассы</w:t>
      </w:r>
    </w:p>
    <w:p w:rsidR="00F26389" w:rsidRDefault="0086256D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956EF">
        <w:rPr>
          <w:rFonts w:cstheme="minorHAnsi"/>
          <w:color w:val="000000"/>
          <w:sz w:val="28"/>
          <w:szCs w:val="28"/>
          <w:lang w:val="ru-RU"/>
        </w:rPr>
        <w:t>Состав комиссии по проверке показаний одометр</w:t>
      </w:r>
      <w:r w:rsidR="00C21790">
        <w:rPr>
          <w:rFonts w:cstheme="minorHAnsi"/>
          <w:color w:val="000000"/>
          <w:sz w:val="28"/>
          <w:szCs w:val="28"/>
          <w:lang w:val="ru-RU"/>
        </w:rPr>
        <w:t>ов</w:t>
      </w:r>
      <w:r w:rsidRPr="003956EF">
        <w:rPr>
          <w:rFonts w:cstheme="minorHAnsi"/>
          <w:color w:val="000000"/>
          <w:sz w:val="28"/>
          <w:szCs w:val="28"/>
          <w:lang w:val="ru-RU"/>
        </w:rPr>
        <w:t xml:space="preserve"> автотранспорта</w:t>
      </w:r>
    </w:p>
    <w:p w:rsidR="00EA72D9" w:rsidRDefault="00EA72D9" w:rsidP="00EA72D9">
      <w:pPr>
        <w:spacing w:before="0" w:beforeAutospacing="0" w:after="0" w:afterAutospacing="0"/>
        <w:ind w:firstLine="426"/>
        <w:rPr>
          <w:rFonts w:cstheme="minorHAnsi"/>
          <w:color w:val="000000"/>
          <w:sz w:val="28"/>
          <w:szCs w:val="28"/>
          <w:lang w:val="ru-RU"/>
        </w:rPr>
      </w:pPr>
      <w:r w:rsidRPr="009D3CC5">
        <w:rPr>
          <w:rFonts w:cstheme="minorHAnsi"/>
          <w:color w:val="000000"/>
          <w:sz w:val="28"/>
          <w:szCs w:val="28"/>
          <w:lang w:val="ru-RU"/>
        </w:rPr>
        <w:t>Перечень неунифицированных форм первичных документов</w:t>
      </w:r>
    </w:p>
    <w:p w:rsidR="00F26389" w:rsidRDefault="00C21790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21790">
        <w:rPr>
          <w:rFonts w:cstheme="minorHAnsi"/>
          <w:color w:val="000000"/>
          <w:sz w:val="28"/>
          <w:szCs w:val="28"/>
          <w:lang w:val="ru-RU"/>
        </w:rPr>
        <w:t>Перечень хозяйственного и производственного инвентаря, который включается в состав основных средств</w:t>
      </w:r>
    </w:p>
    <w:p w:rsidR="00EA72D9" w:rsidRDefault="00EA72D9" w:rsidP="00EA72D9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D3CC5">
        <w:rPr>
          <w:rFonts w:cstheme="minorHAnsi"/>
          <w:color w:val="000000"/>
          <w:sz w:val="28"/>
          <w:szCs w:val="28"/>
          <w:lang w:val="ru-RU"/>
        </w:rPr>
        <w:t>Перечень лиц, имеющих право подписи первичных документов</w:t>
      </w:r>
    </w:p>
    <w:p w:rsidR="00EA72D9" w:rsidRPr="003956EF" w:rsidRDefault="00EA72D9" w:rsidP="00EA72D9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D3CC5">
        <w:rPr>
          <w:rFonts w:cstheme="minorHAnsi"/>
          <w:color w:val="000000"/>
          <w:sz w:val="28"/>
          <w:szCs w:val="28"/>
          <w:lang w:val="ru-RU"/>
        </w:rPr>
        <w:t>Порядок принятия обязательств</w:t>
      </w:r>
    </w:p>
    <w:p w:rsidR="009D3CC5" w:rsidRDefault="009D3CC5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D3CC5">
        <w:rPr>
          <w:rFonts w:cstheme="minorHAnsi"/>
          <w:color w:val="000000"/>
          <w:sz w:val="28"/>
          <w:szCs w:val="28"/>
          <w:lang w:val="ru-RU"/>
        </w:rPr>
        <w:t>Порядок проведения инвентаризации активов и обязательств</w:t>
      </w:r>
    </w:p>
    <w:p w:rsidR="00EA72D9" w:rsidRDefault="0058695B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8695B">
        <w:rPr>
          <w:rFonts w:cstheme="minorHAnsi"/>
          <w:color w:val="000000"/>
          <w:sz w:val="28"/>
          <w:szCs w:val="28"/>
          <w:lang w:val="ru-RU"/>
        </w:rPr>
        <w:t>Номера журналов операций по учету исполнения бюджетной сметы расходов на содержание Управления, операций по администрируемым поступлениям и выбытиям</w:t>
      </w:r>
    </w:p>
    <w:p w:rsidR="009D3CC5" w:rsidRDefault="009D3CC5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D3CC5">
        <w:rPr>
          <w:rFonts w:cstheme="minorHAnsi"/>
          <w:color w:val="000000"/>
          <w:sz w:val="28"/>
          <w:szCs w:val="28"/>
          <w:lang w:val="ru-RU"/>
        </w:rPr>
        <w:t>Положение о внутреннем финансовом контроле</w:t>
      </w:r>
    </w:p>
    <w:p w:rsidR="0058695B" w:rsidRDefault="0058695B" w:rsidP="0058695B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D3CC5">
        <w:rPr>
          <w:rFonts w:cstheme="minorHAnsi"/>
          <w:color w:val="000000"/>
          <w:sz w:val="28"/>
          <w:szCs w:val="28"/>
          <w:lang w:val="ru-RU"/>
        </w:rPr>
        <w:t>Порядок признания в бухгалтерском учете и раскрытия в бухгалтерской (финансовой) отчетности событий после отчетной даты</w:t>
      </w:r>
    </w:p>
    <w:p w:rsidR="009D3CC5" w:rsidRDefault="009D3CC5" w:rsidP="003956EF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D3CC5">
        <w:rPr>
          <w:rFonts w:cstheme="minorHAnsi"/>
          <w:color w:val="000000"/>
          <w:sz w:val="28"/>
          <w:szCs w:val="28"/>
          <w:lang w:val="ru-RU"/>
        </w:rPr>
        <w:t>Порядок расчета резервов по отпускам</w:t>
      </w:r>
    </w:p>
    <w:p w:rsidR="00EA72D9" w:rsidRDefault="00EA72D9" w:rsidP="009D3CC5">
      <w:pPr>
        <w:spacing w:before="0" w:beforeAutospacing="0" w:after="0" w:afterAutospacing="0"/>
        <w:ind w:firstLine="426"/>
        <w:rPr>
          <w:rFonts w:cstheme="minorHAnsi"/>
          <w:color w:val="000000"/>
          <w:sz w:val="28"/>
          <w:szCs w:val="28"/>
          <w:lang w:val="ru-RU"/>
        </w:rPr>
      </w:pPr>
      <w:r w:rsidRPr="00EA72D9">
        <w:rPr>
          <w:rFonts w:cstheme="minorHAnsi"/>
          <w:color w:val="000000"/>
          <w:sz w:val="28"/>
          <w:szCs w:val="28"/>
          <w:lang w:val="ru-RU"/>
        </w:rPr>
        <w:t>График документооборота</w:t>
      </w:r>
    </w:p>
    <w:p w:rsidR="00EA72D9" w:rsidRPr="009D3CC5" w:rsidRDefault="00EA72D9" w:rsidP="009D3CC5">
      <w:pPr>
        <w:spacing w:before="0" w:beforeAutospacing="0" w:after="0" w:afterAutospacing="0"/>
        <w:ind w:firstLine="426"/>
        <w:rPr>
          <w:rFonts w:cstheme="minorHAnsi"/>
          <w:color w:val="000000"/>
          <w:sz w:val="28"/>
          <w:szCs w:val="28"/>
          <w:lang w:val="ru-RU"/>
        </w:rPr>
      </w:pPr>
      <w:r w:rsidRPr="00EA72D9">
        <w:rPr>
          <w:rFonts w:cstheme="minorHAnsi"/>
          <w:color w:val="000000"/>
          <w:sz w:val="28"/>
          <w:szCs w:val="28"/>
          <w:lang w:val="ru-RU"/>
        </w:rPr>
        <w:t>Перечень учетных (бухгалтерских) регистров и периодичность их формирования</w:t>
      </w:r>
    </w:p>
    <w:p w:rsidR="00F26389" w:rsidRPr="003956EF" w:rsidRDefault="00F26389" w:rsidP="009D3CC5">
      <w:pPr>
        <w:spacing w:before="0" w:beforeAutospacing="0" w:after="0" w:afterAutospacing="0"/>
        <w:ind w:right="-612" w:firstLine="426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F26389" w:rsidRPr="003956EF" w:rsidSect="003956EF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03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04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D3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C2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C6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83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86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0E3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C3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1E2F"/>
    <w:rsid w:val="002D33B1"/>
    <w:rsid w:val="002D3591"/>
    <w:rsid w:val="003514A0"/>
    <w:rsid w:val="003956EF"/>
    <w:rsid w:val="003D56F2"/>
    <w:rsid w:val="004F7E17"/>
    <w:rsid w:val="0058695B"/>
    <w:rsid w:val="005A05CE"/>
    <w:rsid w:val="005A6C65"/>
    <w:rsid w:val="00653AF6"/>
    <w:rsid w:val="0086256D"/>
    <w:rsid w:val="009D3CC5"/>
    <w:rsid w:val="00B73A5A"/>
    <w:rsid w:val="00C21790"/>
    <w:rsid w:val="00DD4D59"/>
    <w:rsid w:val="00E438A1"/>
    <w:rsid w:val="00EA72D9"/>
    <w:rsid w:val="00EE08F0"/>
    <w:rsid w:val="00F01E19"/>
    <w:rsid w:val="00F26389"/>
    <w:rsid w:val="00F60CAF"/>
    <w:rsid w:val="00F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dc:description>Подготовлено экспертами Актион-МЦФЭР</dc:description>
  <cp:lastModifiedBy>RePack by Diakov</cp:lastModifiedBy>
  <cp:revision>2</cp:revision>
  <dcterms:created xsi:type="dcterms:W3CDTF">2024-06-24T06:01:00Z</dcterms:created>
  <dcterms:modified xsi:type="dcterms:W3CDTF">2024-06-24T06:01:00Z</dcterms:modified>
</cp:coreProperties>
</file>